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8"/>
        <w:ind w:left="2072" w:right="1876" w:firstLine="0"/>
        <w:jc w:val="center"/>
        <w:rPr>
          <w:b/>
          <w:sz w:val="28"/>
        </w:rPr>
      </w:pPr>
      <w:r>
        <w:rPr/>
        <w:drawing>
          <wp:anchor distT="0" distB="0" distL="0" distR="0" allowOverlap="1" layoutInCell="1" locked="0" behindDoc="0" simplePos="0" relativeHeight="1024">
            <wp:simplePos x="0" y="0"/>
            <wp:positionH relativeFrom="page">
              <wp:posOffset>788908</wp:posOffset>
            </wp:positionH>
            <wp:positionV relativeFrom="paragraph">
              <wp:posOffset>-143747</wp:posOffset>
            </wp:positionV>
            <wp:extent cx="927080" cy="88038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7080" cy="880384"/>
                    </a:xfrm>
                    <a:prstGeom prst="rect">
                      <a:avLst/>
                    </a:prstGeom>
                  </pic:spPr>
                </pic:pic>
              </a:graphicData>
            </a:graphic>
          </wp:anchor>
        </w:drawing>
      </w:r>
      <w:bookmarkStart w:name="I-2" w:id="1"/>
      <w:bookmarkEnd w:id="1"/>
      <w:r>
        <w:rPr/>
      </w:r>
      <w:r>
        <w:rPr>
          <w:b/>
          <w:sz w:val="28"/>
        </w:rPr>
        <w:t>SCHOOL DISTRICT #49 (CENTRAL COAST)</w:t>
      </w:r>
    </w:p>
    <w:p>
      <w:pPr>
        <w:pStyle w:val="BodyText"/>
        <w:rPr>
          <w:b/>
        </w:rPr>
      </w:pPr>
    </w:p>
    <w:p>
      <w:pPr>
        <w:spacing w:before="0"/>
        <w:ind w:left="2072" w:right="1840" w:firstLine="0"/>
        <w:jc w:val="center"/>
        <w:rPr>
          <w:sz w:val="28"/>
        </w:rPr>
      </w:pPr>
      <w:r>
        <w:rPr/>
        <w:pict>
          <v:group style="position:absolute;margin-left:65.879997pt;margin-top:29.931833pt;width:481.1pt;height:8.8pt;mso-position-horizontal-relative:page;mso-position-vertical-relative:paragraph;z-index:1048" coordorigin="1318,599" coordsize="9622,176">
            <v:line style="position:absolute" from="1318,759" to="10939,759" stroked="true" strokeweight="1.44pt" strokecolor="#c00000">
              <v:stroke dashstyle="solid"/>
            </v:line>
            <v:line style="position:absolute" from="1318,686" to="10939,686" stroked="true" strokeweight="3pt" strokecolor="#c00000">
              <v:stroke dashstyle="solid"/>
            </v:line>
            <v:line style="position:absolute" from="1318,613" to="10939,613" stroked="true" strokeweight="1.44pt" strokecolor="#c00000">
              <v:stroke dashstyle="solid"/>
            </v:line>
            <w10:wrap type="none"/>
          </v:group>
        </w:pict>
      </w:r>
      <w:r>
        <w:rPr>
          <w:sz w:val="28"/>
        </w:rPr>
        <w:t>Administrative Procedures Manual</w:t>
      </w:r>
    </w:p>
    <w:p>
      <w:pPr>
        <w:pStyle w:val="BodyText"/>
        <w:rPr>
          <w:sz w:val="20"/>
        </w:rPr>
      </w:pPr>
    </w:p>
    <w:p>
      <w:pPr>
        <w:pStyle w:val="BodyText"/>
        <w:rPr>
          <w:sz w:val="20"/>
        </w:rPr>
      </w:pPr>
    </w:p>
    <w:p>
      <w:pPr>
        <w:pStyle w:val="BodyText"/>
        <w:rPr>
          <w:sz w:val="20"/>
        </w:rPr>
      </w:pPr>
    </w:p>
    <w:p>
      <w:pPr>
        <w:pStyle w:val="BodyText"/>
        <w:spacing w:before="1"/>
        <w:rPr>
          <w:sz w:val="19"/>
        </w:rPr>
      </w:pPr>
    </w:p>
    <w:p>
      <w:pPr>
        <w:spacing w:before="92"/>
        <w:ind w:left="300" w:right="0" w:firstLine="0"/>
        <w:jc w:val="left"/>
        <w:rPr>
          <w:b/>
          <w:sz w:val="24"/>
        </w:rPr>
      </w:pPr>
      <w:r>
        <w:rPr>
          <w:b/>
          <w:sz w:val="24"/>
        </w:rPr>
        <w:t>Administrative Procedure: I-2 Course Equivalency</w:t>
      </w:r>
    </w:p>
    <w:p>
      <w:pPr>
        <w:pStyle w:val="BodyText"/>
        <w:rPr>
          <w:b/>
        </w:rPr>
      </w:pPr>
    </w:p>
    <w:p>
      <w:pPr>
        <w:pStyle w:val="BodyText"/>
        <w:spacing w:before="1"/>
        <w:ind w:left="300"/>
      </w:pPr>
      <w:r>
        <w:rPr/>
        <w:t>Date: January 13, 1998</w:t>
      </w:r>
    </w:p>
    <w:p>
      <w:pPr>
        <w:pStyle w:val="BodyText"/>
        <w:spacing w:before="8"/>
        <w:rPr>
          <w:sz w:val="23"/>
        </w:rPr>
      </w:pPr>
    </w:p>
    <w:p>
      <w:pPr>
        <w:pStyle w:val="BodyText"/>
        <w:spacing w:before="1"/>
        <w:ind w:left="300" w:right="315"/>
      </w:pPr>
      <w:r>
        <w:rPr/>
        <w:t>The purpose of Equivalency is to recognize valid credentials (at the Grade 11 and 12 levels) acquired by students from other educational jurisdictions and from institutions outside the regular school system. All students who can provide a written credential or documentation to support their Equivalency request are entitled to an Equivalency review.</w:t>
      </w:r>
    </w:p>
    <w:p>
      <w:pPr>
        <w:pStyle w:val="BodyText"/>
      </w:pPr>
    </w:p>
    <w:p>
      <w:pPr>
        <w:pStyle w:val="BodyText"/>
        <w:ind w:left="300" w:right="567"/>
      </w:pPr>
      <w:r>
        <w:rPr/>
        <w:t>The Equivalency process is not intended to recognize undocumented prior learning. Equivalency credits will be granted only if the prescribed Learning Outcomes from provincially and locally developed courses are met.</w:t>
      </w:r>
    </w:p>
    <w:p>
      <w:pPr>
        <w:pStyle w:val="BodyText"/>
        <w:rPr>
          <w:sz w:val="26"/>
        </w:rPr>
      </w:pPr>
    </w:p>
    <w:p>
      <w:pPr>
        <w:pStyle w:val="BodyText"/>
        <w:spacing w:before="226"/>
        <w:ind w:left="300" w:right="315"/>
      </w:pPr>
      <w:r>
        <w:rPr/>
        <w:t>Students will adhere to the following processes to achieve credit for prior learning through equivalency:</w:t>
      </w:r>
    </w:p>
    <w:p>
      <w:pPr>
        <w:pStyle w:val="BodyText"/>
      </w:pPr>
    </w:p>
    <w:p>
      <w:pPr>
        <w:pStyle w:val="ListParagraph"/>
        <w:numPr>
          <w:ilvl w:val="0"/>
          <w:numId w:val="1"/>
        </w:numPr>
        <w:tabs>
          <w:tab w:pos="660" w:val="left" w:leader="none"/>
        </w:tabs>
        <w:spacing w:line="240" w:lineRule="auto" w:before="1" w:after="0"/>
        <w:ind w:left="660" w:right="0" w:hanging="360"/>
        <w:jc w:val="left"/>
        <w:rPr>
          <w:sz w:val="24"/>
        </w:rPr>
      </w:pPr>
      <w:r>
        <w:rPr>
          <w:sz w:val="24"/>
        </w:rPr>
        <w:t>The student meets with the school</w:t>
      </w:r>
      <w:r>
        <w:rPr>
          <w:spacing w:val="-6"/>
          <w:sz w:val="24"/>
        </w:rPr>
        <w:t> </w:t>
      </w:r>
      <w:r>
        <w:rPr>
          <w:sz w:val="24"/>
        </w:rPr>
        <w:t>counselor.</w:t>
      </w:r>
    </w:p>
    <w:p>
      <w:pPr>
        <w:pStyle w:val="BodyText"/>
        <w:rPr>
          <w:sz w:val="21"/>
        </w:rPr>
      </w:pPr>
    </w:p>
    <w:p>
      <w:pPr>
        <w:pStyle w:val="ListParagraph"/>
        <w:numPr>
          <w:ilvl w:val="0"/>
          <w:numId w:val="1"/>
        </w:numPr>
        <w:tabs>
          <w:tab w:pos="660" w:val="left" w:leader="none"/>
        </w:tabs>
        <w:spacing w:line="240" w:lineRule="auto" w:before="1" w:after="0"/>
        <w:ind w:left="660" w:right="181" w:hanging="360"/>
        <w:jc w:val="left"/>
        <w:rPr>
          <w:sz w:val="24"/>
        </w:rPr>
      </w:pPr>
      <w:r>
        <w:rPr>
          <w:sz w:val="24"/>
        </w:rPr>
        <w:t>The student provides for the counselor all of the necessary written documentation to support his/her equivalency request. Documentation should include: course outline, learning</w:t>
      </w:r>
      <w:r>
        <w:rPr>
          <w:spacing w:val="-5"/>
          <w:sz w:val="24"/>
        </w:rPr>
        <w:t> </w:t>
      </w:r>
      <w:r>
        <w:rPr>
          <w:sz w:val="24"/>
        </w:rPr>
        <w:t>outcomes,</w:t>
      </w:r>
      <w:r>
        <w:rPr>
          <w:spacing w:val="-3"/>
          <w:sz w:val="24"/>
        </w:rPr>
        <w:t> </w:t>
      </w:r>
      <w:r>
        <w:rPr>
          <w:sz w:val="24"/>
        </w:rPr>
        <w:t>total</w:t>
      </w:r>
      <w:r>
        <w:rPr>
          <w:spacing w:val="-4"/>
          <w:sz w:val="24"/>
        </w:rPr>
        <w:t> </w:t>
      </w:r>
      <w:r>
        <w:rPr>
          <w:sz w:val="24"/>
        </w:rPr>
        <w:t>course</w:t>
      </w:r>
      <w:r>
        <w:rPr>
          <w:spacing w:val="-5"/>
          <w:sz w:val="24"/>
        </w:rPr>
        <w:t> </w:t>
      </w:r>
      <w:r>
        <w:rPr>
          <w:sz w:val="24"/>
        </w:rPr>
        <w:t>hours,</w:t>
      </w:r>
      <w:r>
        <w:rPr>
          <w:spacing w:val="-3"/>
          <w:sz w:val="24"/>
        </w:rPr>
        <w:t> </w:t>
      </w:r>
      <w:r>
        <w:rPr>
          <w:sz w:val="24"/>
        </w:rPr>
        <w:t>institution</w:t>
      </w:r>
      <w:r>
        <w:rPr>
          <w:spacing w:val="-2"/>
          <w:sz w:val="24"/>
        </w:rPr>
        <w:t> </w:t>
      </w:r>
      <w:r>
        <w:rPr>
          <w:sz w:val="24"/>
        </w:rPr>
        <w:t>attended</w:t>
      </w:r>
      <w:r>
        <w:rPr>
          <w:spacing w:val="-3"/>
          <w:sz w:val="24"/>
        </w:rPr>
        <w:t> </w:t>
      </w:r>
      <w:r>
        <w:rPr>
          <w:sz w:val="24"/>
        </w:rPr>
        <w:t>and</w:t>
      </w:r>
      <w:r>
        <w:rPr>
          <w:spacing w:val="-5"/>
          <w:sz w:val="24"/>
        </w:rPr>
        <w:t> </w:t>
      </w:r>
      <w:r>
        <w:rPr>
          <w:sz w:val="24"/>
        </w:rPr>
        <w:t>proof</w:t>
      </w:r>
      <w:r>
        <w:rPr>
          <w:spacing w:val="-3"/>
          <w:sz w:val="24"/>
        </w:rPr>
        <w:t> </w:t>
      </w:r>
      <w:r>
        <w:rPr>
          <w:sz w:val="24"/>
        </w:rPr>
        <w:t>of</w:t>
      </w:r>
      <w:r>
        <w:rPr>
          <w:spacing w:val="-30"/>
          <w:sz w:val="24"/>
        </w:rPr>
        <w:t> </w:t>
      </w:r>
      <w:r>
        <w:rPr>
          <w:sz w:val="24"/>
        </w:rPr>
        <w:t>certification.</w:t>
      </w:r>
    </w:p>
    <w:p>
      <w:pPr>
        <w:pStyle w:val="BodyText"/>
        <w:spacing w:before="11"/>
        <w:rPr>
          <w:sz w:val="23"/>
        </w:rPr>
      </w:pPr>
    </w:p>
    <w:p>
      <w:pPr>
        <w:pStyle w:val="ListParagraph"/>
        <w:numPr>
          <w:ilvl w:val="0"/>
          <w:numId w:val="1"/>
        </w:numPr>
        <w:tabs>
          <w:tab w:pos="660" w:val="left" w:leader="none"/>
        </w:tabs>
        <w:spacing w:line="240" w:lineRule="auto" w:before="0" w:after="0"/>
        <w:ind w:left="660" w:right="0" w:hanging="360"/>
        <w:jc w:val="left"/>
        <w:rPr>
          <w:sz w:val="24"/>
        </w:rPr>
      </w:pPr>
      <w:r>
        <w:rPr>
          <w:sz w:val="24"/>
        </w:rPr>
        <w:t>The student and counselor complete the application for equivalency</w:t>
      </w:r>
      <w:r>
        <w:rPr>
          <w:spacing w:val="-24"/>
          <w:sz w:val="24"/>
        </w:rPr>
        <w:t> </w:t>
      </w:r>
      <w:r>
        <w:rPr>
          <w:sz w:val="24"/>
        </w:rPr>
        <w:t>form.</w:t>
      </w:r>
    </w:p>
    <w:p>
      <w:pPr>
        <w:pStyle w:val="BodyText"/>
      </w:pPr>
    </w:p>
    <w:p>
      <w:pPr>
        <w:pStyle w:val="ListParagraph"/>
        <w:numPr>
          <w:ilvl w:val="0"/>
          <w:numId w:val="1"/>
        </w:numPr>
        <w:tabs>
          <w:tab w:pos="660" w:val="left" w:leader="none"/>
        </w:tabs>
        <w:spacing w:line="240" w:lineRule="auto" w:before="0" w:after="0"/>
        <w:ind w:left="660" w:right="0" w:hanging="360"/>
        <w:jc w:val="left"/>
        <w:rPr>
          <w:sz w:val="24"/>
        </w:rPr>
      </w:pPr>
      <w:r>
        <w:rPr>
          <w:sz w:val="24"/>
        </w:rPr>
        <w:t>All written documentation is submitted to the Principal for final</w:t>
      </w:r>
      <w:r>
        <w:rPr>
          <w:spacing w:val="-36"/>
          <w:sz w:val="24"/>
        </w:rPr>
        <w:t> </w:t>
      </w:r>
      <w:r>
        <w:rPr>
          <w:sz w:val="24"/>
        </w:rPr>
        <w:t>approval.</w:t>
      </w:r>
    </w:p>
    <w:p>
      <w:pPr>
        <w:pStyle w:val="BodyText"/>
      </w:pPr>
    </w:p>
    <w:p>
      <w:pPr>
        <w:pStyle w:val="ListParagraph"/>
        <w:numPr>
          <w:ilvl w:val="0"/>
          <w:numId w:val="1"/>
        </w:numPr>
        <w:tabs>
          <w:tab w:pos="660" w:val="left" w:leader="none"/>
        </w:tabs>
        <w:spacing w:line="240" w:lineRule="auto" w:before="0" w:after="0"/>
        <w:ind w:left="660" w:right="865" w:hanging="360"/>
        <w:jc w:val="left"/>
        <w:rPr>
          <w:sz w:val="24"/>
        </w:rPr>
      </w:pPr>
      <w:r>
        <w:rPr>
          <w:sz w:val="24"/>
        </w:rPr>
        <w:t>Transfer Standing will be granted unless a percentage mark is provided in the written documentation.</w:t>
      </w:r>
    </w:p>
    <w:p>
      <w:pPr>
        <w:pStyle w:val="BodyText"/>
        <w:spacing w:before="10"/>
        <w:rPr>
          <w:sz w:val="20"/>
        </w:rPr>
      </w:pPr>
    </w:p>
    <w:p>
      <w:pPr>
        <w:pStyle w:val="ListParagraph"/>
        <w:numPr>
          <w:ilvl w:val="0"/>
          <w:numId w:val="1"/>
        </w:numPr>
        <w:tabs>
          <w:tab w:pos="660" w:val="left" w:leader="none"/>
        </w:tabs>
        <w:spacing w:line="240" w:lineRule="auto" w:before="0" w:after="0"/>
        <w:ind w:left="660" w:right="104" w:hanging="360"/>
        <w:jc w:val="left"/>
        <w:rPr>
          <w:sz w:val="24"/>
        </w:rPr>
      </w:pPr>
      <w:r>
        <w:rPr>
          <w:sz w:val="24"/>
        </w:rPr>
        <w:t>Partial credit may be granted where there is a significant match of learning outcomes for that part of the course for which equivalency is being</w:t>
      </w:r>
      <w:r>
        <w:rPr>
          <w:spacing w:val="-15"/>
          <w:sz w:val="24"/>
        </w:rPr>
        <w:t> </w:t>
      </w:r>
      <w:r>
        <w:rPr>
          <w:sz w:val="24"/>
        </w:rPr>
        <w:t>sought.</w:t>
      </w:r>
    </w:p>
    <w:sectPr>
      <w:type w:val="continuous"/>
      <w:pgSz w:w="12240" w:h="15840"/>
      <w:pgMar w:top="380" w:bottom="280" w:left="11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60" w:hanging="360"/>
        <w:jc w:val="left"/>
      </w:pPr>
      <w:rPr>
        <w:rFonts w:hint="default" w:ascii="Arial" w:hAnsi="Arial" w:eastAsia="Arial" w:cs="Arial"/>
        <w:spacing w:val="-5"/>
        <w:w w:val="100"/>
        <w:sz w:val="24"/>
        <w:szCs w:val="24"/>
      </w:rPr>
    </w:lvl>
    <w:lvl w:ilvl="1">
      <w:start w:val="0"/>
      <w:numFmt w:val="bullet"/>
      <w:lvlText w:val="•"/>
      <w:lvlJc w:val="left"/>
      <w:pPr>
        <w:ind w:left="1570" w:hanging="360"/>
      </w:pPr>
      <w:rPr>
        <w:rFonts w:hint="default"/>
      </w:rPr>
    </w:lvl>
    <w:lvl w:ilvl="2">
      <w:start w:val="0"/>
      <w:numFmt w:val="bullet"/>
      <w:lvlText w:val="•"/>
      <w:lvlJc w:val="left"/>
      <w:pPr>
        <w:ind w:left="2480" w:hanging="360"/>
      </w:pPr>
      <w:rPr>
        <w:rFonts w:hint="default"/>
      </w:rPr>
    </w:lvl>
    <w:lvl w:ilvl="3">
      <w:start w:val="0"/>
      <w:numFmt w:val="bullet"/>
      <w:lvlText w:val="•"/>
      <w:lvlJc w:val="left"/>
      <w:pPr>
        <w:ind w:left="3390" w:hanging="360"/>
      </w:pPr>
      <w:rPr>
        <w:rFonts w:hint="default"/>
      </w:rPr>
    </w:lvl>
    <w:lvl w:ilvl="4">
      <w:start w:val="0"/>
      <w:numFmt w:val="bullet"/>
      <w:lvlText w:val="•"/>
      <w:lvlJc w:val="left"/>
      <w:pPr>
        <w:ind w:left="4300" w:hanging="360"/>
      </w:pPr>
      <w:rPr>
        <w:rFonts w:hint="default"/>
      </w:rPr>
    </w:lvl>
    <w:lvl w:ilvl="5">
      <w:start w:val="0"/>
      <w:numFmt w:val="bullet"/>
      <w:lvlText w:val="•"/>
      <w:lvlJc w:val="left"/>
      <w:pPr>
        <w:ind w:left="5210" w:hanging="360"/>
      </w:pPr>
      <w:rPr>
        <w:rFonts w:hint="default"/>
      </w:rPr>
    </w:lvl>
    <w:lvl w:ilvl="6">
      <w:start w:val="0"/>
      <w:numFmt w:val="bullet"/>
      <w:lvlText w:val="•"/>
      <w:lvlJc w:val="left"/>
      <w:pPr>
        <w:ind w:left="6120" w:hanging="360"/>
      </w:pPr>
      <w:rPr>
        <w:rFonts w:hint="default"/>
      </w:rPr>
    </w:lvl>
    <w:lvl w:ilvl="7">
      <w:start w:val="0"/>
      <w:numFmt w:val="bullet"/>
      <w:lvlText w:val="•"/>
      <w:lvlJc w:val="left"/>
      <w:pPr>
        <w:ind w:left="7030" w:hanging="360"/>
      </w:pPr>
      <w:rPr>
        <w:rFonts w:hint="default"/>
      </w:rPr>
    </w:lvl>
    <w:lvl w:ilvl="8">
      <w:start w:val="0"/>
      <w:numFmt w:val="bullet"/>
      <w:lvlText w:val="•"/>
      <w:lvlJc w:val="left"/>
      <w:pPr>
        <w:ind w:left="79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ind w:left="66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dcterms:created xsi:type="dcterms:W3CDTF">2020-05-06T20:36:04Z</dcterms:created>
  <dcterms:modified xsi:type="dcterms:W3CDTF">2020-05-06T20:36:04Z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