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72" w:right="185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788908</wp:posOffset>
            </wp:positionH>
            <wp:positionV relativeFrom="paragraph">
              <wp:posOffset>-143747</wp:posOffset>
            </wp:positionV>
            <wp:extent cx="927080" cy="88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-3" w:id="1"/>
      <w:bookmarkEnd w:id="1"/>
      <w:r>
        <w:rPr/>
      </w:r>
      <w:r>
        <w:rPr>
          <w:b/>
          <w:sz w:val="28"/>
        </w:rPr>
        <w:t>SCHOOL DISTRICT #49 (CENTRAL COAST)</w:t>
      </w:r>
    </w:p>
    <w:p>
      <w:pPr>
        <w:pStyle w:val="BodyText"/>
        <w:rPr>
          <w:b/>
        </w:rPr>
      </w:pPr>
    </w:p>
    <w:p>
      <w:pPr>
        <w:spacing w:before="0"/>
        <w:ind w:left="2072" w:right="1820" w:firstLine="0"/>
        <w:jc w:val="center"/>
        <w:rPr>
          <w:sz w:val="28"/>
        </w:rPr>
      </w:pPr>
      <w:r>
        <w:rPr/>
        <w:pict>
          <v:group style="position:absolute;margin-left:65.879997pt;margin-top:29.931833pt;width:481.1pt;height:8.8pt;mso-position-horizontal-relative:page;mso-position-vertical-relative:paragraph;z-index:1048" coordorigin="1318,599" coordsize="9622,176">
            <v:line style="position:absolute" from="1318,759" to="10939,759" stroked="true" strokeweight="1.44pt" strokecolor="#c00000">
              <v:stroke dashstyle="solid"/>
            </v:line>
            <v:line style="position:absolute" from="1318,686" to="10939,686" stroked="true" strokeweight="3pt" strokecolor="#c00000">
              <v:stroke dashstyle="solid"/>
            </v:line>
            <v:line style="position:absolute" from="1318,613" to="10939,613" stroked="true" strokeweight="1.44pt" strokecolor="#c00000">
              <v:stroke dashstyle="solid"/>
            </v:line>
            <w10:wrap type="none"/>
          </v:group>
        </w:pict>
      </w:r>
      <w:r>
        <w:rPr>
          <w:sz w:val="28"/>
        </w:rPr>
        <w:t>Administrative Procedures 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 Procedure: I-3 Student Placement, Retention, and Acceleration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/>
        <w:t>Date: October 10, 2017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99" w:right="455"/>
      </w:pPr>
      <w:r>
        <w:rPr/>
        <w:t>The District is dedicated to providing the best possible education for each student. In most cases, students are placed with age-appropriate peers. Educational research indicates that:</w:t>
      </w: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0" w:after="0"/>
        <w:ind w:left="1432" w:right="670" w:hanging="362"/>
        <w:jc w:val="left"/>
        <w:rPr>
          <w:sz w:val="24"/>
        </w:rPr>
      </w:pPr>
      <w:r>
        <w:rPr>
          <w:sz w:val="24"/>
        </w:rPr>
        <w:t>Retention, alone, does not improve student achievement. Retention of a student in a grade or subject would only occur in exceptional</w:t>
      </w:r>
      <w:r>
        <w:rPr>
          <w:spacing w:val="-22"/>
          <w:sz w:val="24"/>
        </w:rPr>
        <w:t> </w:t>
      </w:r>
      <w:r>
        <w:rPr>
          <w:sz w:val="24"/>
        </w:rPr>
        <w:t>cases.</w:t>
      </w: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0" w:after="0"/>
        <w:ind w:left="1432" w:right="100" w:hanging="362"/>
        <w:jc w:val="left"/>
        <w:rPr>
          <w:sz w:val="24"/>
        </w:rPr>
      </w:pPr>
      <w:r>
        <w:rPr>
          <w:sz w:val="24"/>
        </w:rPr>
        <w:t>Acceleration of a student in a grade or subject can be an appropriate strategy for some students, including gifted</w:t>
      </w:r>
      <w:r>
        <w:rPr>
          <w:spacing w:val="-4"/>
          <w:sz w:val="24"/>
        </w:rPr>
        <w:t> </w:t>
      </w:r>
      <w:r>
        <w:rPr>
          <w:sz w:val="24"/>
        </w:rPr>
        <w:t>students.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1221" w:hanging="360"/>
        <w:jc w:val="left"/>
        <w:rPr>
          <w:sz w:val="24"/>
        </w:rPr>
      </w:pPr>
      <w:r>
        <w:rPr>
          <w:sz w:val="24"/>
        </w:rPr>
        <w:t>Professional staff will place students at the grade level best suited to</w:t>
      </w:r>
      <w:r>
        <w:rPr>
          <w:spacing w:val="-32"/>
          <w:sz w:val="24"/>
        </w:rPr>
        <w:t> </w:t>
      </w:r>
      <w:r>
        <w:rPr>
          <w:sz w:val="24"/>
        </w:rPr>
        <w:t>them academically, socially and</w:t>
      </w:r>
      <w:r>
        <w:rPr>
          <w:spacing w:val="-4"/>
          <w:sz w:val="24"/>
        </w:rPr>
        <w:t> </w:t>
      </w:r>
      <w:r>
        <w:rPr>
          <w:sz w:val="24"/>
        </w:rPr>
        <w:t>emotionally.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92" w:right="0" w:hanging="432"/>
        <w:jc w:val="left"/>
        <w:rPr>
          <w:sz w:val="24"/>
        </w:rPr>
      </w:pPr>
      <w:r>
        <w:rPr>
          <w:sz w:val="24"/>
        </w:rPr>
        <w:t>In most cases, this is with age-appropriate</w:t>
      </w:r>
      <w:r>
        <w:rPr>
          <w:spacing w:val="-7"/>
          <w:sz w:val="24"/>
        </w:rPr>
        <w:t> </w:t>
      </w:r>
      <w:r>
        <w:rPr>
          <w:sz w:val="24"/>
        </w:rPr>
        <w:t>peers.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92" w:right="319" w:hanging="432"/>
        <w:jc w:val="left"/>
        <w:rPr>
          <w:sz w:val="24"/>
        </w:rPr>
      </w:pPr>
      <w:r>
        <w:rPr>
          <w:sz w:val="24"/>
        </w:rPr>
        <w:t>Exceptions may be made when, in the opinion of the professional staff and the parents, such decisions are in the best interest of, and will benefit, the</w:t>
      </w:r>
      <w:r>
        <w:rPr>
          <w:spacing w:val="-36"/>
          <w:sz w:val="24"/>
        </w:rPr>
        <w:t> </w:t>
      </w:r>
      <w:r>
        <w:rPr>
          <w:sz w:val="24"/>
        </w:rPr>
        <w:t>student.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139" w:hanging="360"/>
        <w:jc w:val="left"/>
        <w:rPr>
          <w:sz w:val="24"/>
        </w:rPr>
      </w:pPr>
      <w:r>
        <w:rPr>
          <w:sz w:val="24"/>
        </w:rPr>
        <w:t>In those instances where retention or acceleration is being considered, factors associated with the students’ emotional and social well-being will be considered with the same weight as academic assessment</w:t>
      </w:r>
      <w:r>
        <w:rPr>
          <w:spacing w:val="-2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92" w:right="0" w:hanging="432"/>
        <w:jc w:val="left"/>
        <w:rPr>
          <w:sz w:val="24"/>
        </w:rPr>
      </w:pPr>
      <w:r>
        <w:rPr>
          <w:sz w:val="24"/>
        </w:rPr>
        <w:t>These factors may be outlined in the student’s Individual Education Plan</w:t>
      </w:r>
      <w:r>
        <w:rPr>
          <w:spacing w:val="-29"/>
          <w:sz w:val="24"/>
        </w:rPr>
        <w:t> </w:t>
      </w:r>
      <w:r>
        <w:rPr>
          <w:sz w:val="24"/>
        </w:rPr>
        <w:t>(IEP).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244" w:hanging="360"/>
        <w:jc w:val="left"/>
        <w:rPr>
          <w:sz w:val="24"/>
        </w:rPr>
      </w:pPr>
      <w:r>
        <w:rPr>
          <w:sz w:val="24"/>
        </w:rPr>
        <w:t>The review process may be initiated by the student (where applicable), the parents, or the School Based</w:t>
      </w:r>
      <w:r>
        <w:rPr>
          <w:spacing w:val="-4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92" w:right="0" w:hanging="432"/>
        <w:jc w:val="left"/>
        <w:rPr>
          <w:sz w:val="24"/>
        </w:rPr>
      </w:pPr>
      <w:r>
        <w:rPr>
          <w:sz w:val="24"/>
        </w:rPr>
        <w:t>Extensive consultation will occur in a timely</w:t>
      </w:r>
      <w:r>
        <w:rPr>
          <w:spacing w:val="-5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92" w:right="157" w:hanging="432"/>
        <w:jc w:val="left"/>
        <w:rPr>
          <w:sz w:val="24"/>
        </w:rPr>
      </w:pPr>
      <w:r>
        <w:rPr>
          <w:sz w:val="24"/>
        </w:rPr>
        <w:t>This process is to result in a high degree of consensus between the student, the parents and the School Based Team and be consistent with established school placement procedures.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110" w:hanging="360"/>
        <w:jc w:val="left"/>
        <w:rPr>
          <w:sz w:val="24"/>
        </w:rPr>
      </w:pPr>
      <w:r>
        <w:rPr>
          <w:sz w:val="24"/>
        </w:rPr>
        <w:t>The final responsibility for student placement in a school will rest with the Principal in consultation with the</w:t>
      </w:r>
      <w:r>
        <w:rPr>
          <w:spacing w:val="2"/>
          <w:sz w:val="24"/>
        </w:rPr>
        <w:t> </w:t>
      </w:r>
      <w:r>
        <w:rPr>
          <w:sz w:val="24"/>
        </w:rPr>
        <w:t>Superintendent.</w:t>
      </w:r>
    </w:p>
    <w:sectPr>
      <w:type w:val="continuous"/>
      <w:pgSz w:w="12240" w:h="15840"/>
      <w:pgMar w:top="380" w:bottom="280" w:left="11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92" w:hanging="43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0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4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32" w:hanging="363"/>
      </w:pPr>
      <w:rPr>
        <w:rFonts w:hint="default" w:ascii="Arial" w:hAnsi="Arial" w:eastAsia="Arial" w:cs="Arial"/>
        <w:w w:val="129"/>
        <w:sz w:val="22"/>
        <w:szCs w:val="22"/>
      </w:rPr>
    </w:lvl>
    <w:lvl w:ilvl="1">
      <w:start w:val="0"/>
      <w:numFmt w:val="bullet"/>
      <w:lvlText w:val="•"/>
      <w:lvlJc w:val="left"/>
      <w:pPr>
        <w:ind w:left="227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0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3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92" w:hanging="43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dcterms:created xsi:type="dcterms:W3CDTF">2020-05-06T20:36:41Z</dcterms:created>
  <dcterms:modified xsi:type="dcterms:W3CDTF">2020-05-06T20:36:41Z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